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Tool: Exploring challenges and opportunities</w:t>
      </w:r>
      <w:r w:rsidDel="00000000" w:rsidR="00000000" w:rsidRPr="00000000">
        <w:rPr>
          <w:rtl w:val="0"/>
        </w:rPr>
      </w:r>
    </w:p>
    <w:p w:rsidR="00000000" w:rsidDel="00000000" w:rsidP="00000000" w:rsidRDefault="00000000" w:rsidRPr="00000000" w14:paraId="0000000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Use this tool to help you to explore some of the challenges and opportunities for adolescents in your community.</w:t>
      </w:r>
    </w:p>
    <w:tbl>
      <w:tblPr>
        <w:tblStyle w:val="Table1"/>
        <w:tblW w:w="85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8"/>
        <w:gridCol w:w="4258"/>
        <w:tblGridChange w:id="0">
          <w:tblGrid>
            <w:gridCol w:w="4258"/>
            <w:gridCol w:w="4258"/>
          </w:tblGrid>
        </w:tblGridChange>
      </w:tblGrid>
      <w:tr>
        <w:trPr>
          <w:cantSplit w:val="0"/>
          <w:tblHeader w:val="0"/>
        </w:trPr>
        <w:tc>
          <w:tcPr>
            <w:shd w:fill="f3f3f3" w:val="clear"/>
            <w:vAlign w:val="top"/>
          </w:tcPr>
          <w:p w:rsidR="00000000" w:rsidDel="00000000" w:rsidP="00000000" w:rsidRDefault="00000000" w:rsidRPr="00000000" w14:paraId="00000003">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Adolescent boys</w:t>
            </w:r>
            <w:r w:rsidDel="00000000" w:rsidR="00000000" w:rsidRPr="00000000">
              <w:rPr>
                <w:rtl w:val="0"/>
              </w:rPr>
            </w:r>
          </w:p>
        </w:tc>
        <w:tc>
          <w:tcPr>
            <w:shd w:fill="f3f3f3" w:val="clear"/>
            <w:vAlign w:val="top"/>
          </w:tcPr>
          <w:p w:rsidR="00000000" w:rsidDel="00000000" w:rsidP="00000000" w:rsidRDefault="00000000" w:rsidRPr="00000000" w14:paraId="00000004">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Adolescent girls</w:t>
            </w:r>
            <w:r w:rsidDel="00000000" w:rsidR="00000000" w:rsidRPr="00000000">
              <w:rPr>
                <w:rtl w:val="0"/>
              </w:rPr>
            </w:r>
          </w:p>
        </w:tc>
      </w:tr>
      <w:tr>
        <w:trPr>
          <w:cantSplit w:val="0"/>
          <w:trHeight w:val="3887" w:hRule="atLeast"/>
          <w:tblHeader w:val="0"/>
        </w:trPr>
        <w:tc>
          <w:tcPr>
            <w:vAlign w:val="top"/>
          </w:tcPr>
          <w:p w:rsidR="00000000" w:rsidDel="00000000" w:rsidP="00000000" w:rsidRDefault="00000000" w:rsidRPr="00000000" w14:paraId="00000005">
            <w:pPr>
              <w:spacing w:after="240" w:line="276" w:lineRule="auto"/>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Possible challenges and difficulties</w:t>
            </w:r>
            <w:r w:rsidDel="00000000" w:rsidR="00000000" w:rsidRPr="00000000">
              <w:rPr>
                <w:rtl w:val="0"/>
              </w:rPr>
            </w:r>
          </w:p>
          <w:p w:rsidR="00000000" w:rsidDel="00000000" w:rsidP="00000000" w:rsidRDefault="00000000" w:rsidRPr="00000000" w14:paraId="00000006">
            <w:pPr>
              <w:spacing w:after="240" w:line="276" w:lineRule="auto"/>
              <w:ind w:left="357" w:firstLine="0"/>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07">
            <w:pPr>
              <w:spacing w:after="240" w:line="276" w:lineRule="auto"/>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Possible challenges and difficulties</w:t>
            </w:r>
            <w:r w:rsidDel="00000000" w:rsidR="00000000" w:rsidRPr="00000000">
              <w:rPr>
                <w:rtl w:val="0"/>
              </w:rPr>
            </w:r>
          </w:p>
          <w:p w:rsidR="00000000" w:rsidDel="00000000" w:rsidP="00000000" w:rsidRDefault="00000000" w:rsidRPr="00000000" w14:paraId="00000008">
            <w:pPr>
              <w:spacing w:after="240" w:line="276" w:lineRule="auto"/>
              <w:ind w:left="357" w:firstLine="0"/>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9">
            <w:pPr>
              <w:spacing w:after="240" w:line="276" w:lineRule="auto"/>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Things going well and opportunities</w:t>
            </w:r>
            <w:r w:rsidDel="00000000" w:rsidR="00000000" w:rsidRPr="00000000">
              <w:rPr>
                <w:rtl w:val="0"/>
              </w:rPr>
            </w:r>
          </w:p>
          <w:p w:rsidR="00000000" w:rsidDel="00000000" w:rsidP="00000000" w:rsidRDefault="00000000" w:rsidRPr="00000000" w14:paraId="0000000A">
            <w:pPr>
              <w:spacing w:after="240" w:line="276" w:lineRule="auto"/>
              <w:ind w:left="357"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tc>
        <w:tc>
          <w:tcPr>
            <w:vAlign w:val="top"/>
          </w:tcPr>
          <w:p w:rsidR="00000000" w:rsidDel="00000000" w:rsidP="00000000" w:rsidRDefault="00000000" w:rsidRPr="00000000" w14:paraId="0000000B">
            <w:pPr>
              <w:spacing w:after="240" w:line="276" w:lineRule="auto"/>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Things going well and opportunities</w:t>
            </w:r>
            <w:r w:rsidDel="00000000" w:rsidR="00000000" w:rsidRPr="00000000">
              <w:rPr>
                <w:rtl w:val="0"/>
              </w:rPr>
            </w:r>
          </w:p>
          <w:p w:rsidR="00000000" w:rsidDel="00000000" w:rsidP="00000000" w:rsidRDefault="00000000" w:rsidRPr="00000000" w14:paraId="0000000C">
            <w:pPr>
              <w:spacing w:after="240" w:line="276" w:lineRule="auto"/>
              <w:ind w:left="357" w:firstLine="0"/>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0D">
      <w:pPr>
        <w:spacing w:after="24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spacing w:after="240" w:line="276" w:lineRule="auto"/>
        <w:rPr>
          <w:rFonts w:ascii="Calibri" w:cs="Calibri" w:eastAsia="Calibri" w:hAnsi="Calibri"/>
          <w:vertAlign w:val="baseline"/>
        </w:rPr>
      </w:pPr>
      <w:r w:rsidDel="00000000" w:rsidR="00000000" w:rsidRPr="00000000">
        <w:br w:type="page"/>
      </w:r>
      <w:r w:rsidDel="00000000" w:rsidR="00000000" w:rsidRPr="00000000">
        <w:rPr>
          <w:rFonts w:ascii="Calibri" w:cs="Calibri" w:eastAsia="Calibri" w:hAnsi="Calibri"/>
          <w:i w:val="1"/>
          <w:vertAlign w:val="baseline"/>
          <w:rtl w:val="0"/>
        </w:rPr>
        <w:t xml:space="preserve">Sample Tool:</w:t>
      </w:r>
      <w:r w:rsidDel="00000000" w:rsidR="00000000" w:rsidRPr="00000000">
        <w:rPr>
          <w:rFonts w:ascii="Calibri" w:cs="Calibri" w:eastAsia="Calibri" w:hAnsi="Calibri"/>
          <w:vertAlign w:val="baseline"/>
          <w:rtl w:val="0"/>
        </w:rPr>
        <w:t xml:space="preserve"> UNICEF’s partner organizations implementing life skills and psychosocial support programmes for adolescents affected by the protracted conflict in South Sudan identified the following challenges and opportunities adolescent boys and girls were facing: </w:t>
      </w:r>
    </w:p>
    <w:tbl>
      <w:tblPr>
        <w:tblStyle w:val="Table2"/>
        <w:tblW w:w="85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8"/>
        <w:gridCol w:w="4258"/>
        <w:tblGridChange w:id="0">
          <w:tblGrid>
            <w:gridCol w:w="4258"/>
            <w:gridCol w:w="4258"/>
          </w:tblGrid>
        </w:tblGridChange>
      </w:tblGrid>
      <w:tr>
        <w:trPr>
          <w:cantSplit w:val="0"/>
          <w:tblHeader w:val="0"/>
        </w:trPr>
        <w:tc>
          <w:tcPr>
            <w:shd w:fill="f3f3f3" w:val="clear"/>
            <w:vAlign w:val="top"/>
          </w:tcPr>
          <w:p w:rsidR="00000000" w:rsidDel="00000000" w:rsidP="00000000" w:rsidRDefault="00000000" w:rsidRPr="00000000" w14:paraId="0000000F">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Adolescent boys</w:t>
            </w:r>
            <w:r w:rsidDel="00000000" w:rsidR="00000000" w:rsidRPr="00000000">
              <w:rPr>
                <w:rtl w:val="0"/>
              </w:rPr>
            </w:r>
          </w:p>
        </w:tc>
        <w:tc>
          <w:tcPr>
            <w:shd w:fill="f3f3f3" w:val="clear"/>
            <w:vAlign w:val="top"/>
          </w:tcPr>
          <w:p w:rsidR="00000000" w:rsidDel="00000000" w:rsidP="00000000" w:rsidRDefault="00000000" w:rsidRPr="00000000" w14:paraId="00000010">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Adolescent girls</w:t>
            </w:r>
            <w:r w:rsidDel="00000000" w:rsidR="00000000" w:rsidRPr="00000000">
              <w:rPr>
                <w:rtl w:val="0"/>
              </w:rPr>
            </w:r>
          </w:p>
        </w:tc>
      </w:tr>
      <w:tr>
        <w:trPr>
          <w:cantSplit w:val="0"/>
          <w:trHeight w:val="3887" w:hRule="atLeast"/>
          <w:tblHeader w:val="0"/>
        </w:trPr>
        <w:tc>
          <w:tcPr>
            <w:vAlign w:val="top"/>
          </w:tcPr>
          <w:p w:rsidR="00000000" w:rsidDel="00000000" w:rsidP="00000000" w:rsidRDefault="00000000" w:rsidRPr="00000000" w14:paraId="00000011">
            <w:pPr>
              <w:spacing w:after="240" w:line="276" w:lineRule="auto"/>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Possible challenges and difficulties</w:t>
            </w:r>
            <w:r w:rsidDel="00000000" w:rsidR="00000000" w:rsidRPr="00000000">
              <w:rPr>
                <w:rtl w:val="0"/>
              </w:rPr>
            </w:r>
          </w:p>
          <w:p w:rsidR="00000000" w:rsidDel="00000000" w:rsidP="00000000" w:rsidRDefault="00000000" w:rsidRPr="00000000" w14:paraId="00000012">
            <w:pPr>
              <w:numPr>
                <w:ilvl w:val="0"/>
                <w:numId w:val="2"/>
              </w:numPr>
              <w:spacing w:after="0" w:line="276" w:lineRule="auto"/>
              <w:ind w:left="357" w:hanging="357"/>
              <w:rPr/>
            </w:pPr>
            <w:r w:rsidDel="00000000" w:rsidR="00000000" w:rsidRPr="00000000">
              <w:rPr>
                <w:rFonts w:ascii="Calibri" w:cs="Calibri" w:eastAsia="Calibri" w:hAnsi="Calibri"/>
                <w:vertAlign w:val="baseline"/>
                <w:rtl w:val="0"/>
              </w:rPr>
              <w:t xml:space="preserve">Problems with bullying, romantic relationships, parents fighting over money and other issues </w:t>
            </w:r>
          </w:p>
          <w:p w:rsidR="00000000" w:rsidDel="00000000" w:rsidP="00000000" w:rsidRDefault="00000000" w:rsidRPr="00000000" w14:paraId="00000013">
            <w:pPr>
              <w:numPr>
                <w:ilvl w:val="0"/>
                <w:numId w:val="2"/>
              </w:numPr>
              <w:spacing w:after="0" w:line="276" w:lineRule="auto"/>
              <w:ind w:left="357" w:hanging="357"/>
              <w:rPr/>
            </w:pPr>
            <w:r w:rsidDel="00000000" w:rsidR="00000000" w:rsidRPr="00000000">
              <w:rPr>
                <w:rFonts w:ascii="Calibri" w:cs="Calibri" w:eastAsia="Calibri" w:hAnsi="Calibri"/>
                <w:vertAlign w:val="baseline"/>
                <w:rtl w:val="0"/>
              </w:rPr>
              <w:t xml:space="preserve">Lack of education opportunities</w:t>
            </w:r>
          </w:p>
          <w:p w:rsidR="00000000" w:rsidDel="00000000" w:rsidP="00000000" w:rsidRDefault="00000000" w:rsidRPr="00000000" w14:paraId="00000014">
            <w:pPr>
              <w:numPr>
                <w:ilvl w:val="0"/>
                <w:numId w:val="2"/>
              </w:numPr>
              <w:spacing w:after="0" w:line="276" w:lineRule="auto"/>
              <w:ind w:left="357" w:hanging="357"/>
              <w:rPr/>
            </w:pPr>
            <w:r w:rsidDel="00000000" w:rsidR="00000000" w:rsidRPr="00000000">
              <w:rPr>
                <w:rFonts w:ascii="Calibri" w:cs="Calibri" w:eastAsia="Calibri" w:hAnsi="Calibri"/>
                <w:vertAlign w:val="baseline"/>
                <w:rtl w:val="0"/>
              </w:rPr>
              <w:t xml:space="preserve">Recruitment into fighting forces</w:t>
            </w:r>
          </w:p>
          <w:p w:rsidR="00000000" w:rsidDel="00000000" w:rsidP="00000000" w:rsidRDefault="00000000" w:rsidRPr="00000000" w14:paraId="00000015">
            <w:pPr>
              <w:numPr>
                <w:ilvl w:val="0"/>
                <w:numId w:val="2"/>
              </w:numPr>
              <w:spacing w:after="0" w:line="276" w:lineRule="auto"/>
              <w:ind w:left="357" w:hanging="357"/>
              <w:rPr/>
            </w:pPr>
            <w:r w:rsidDel="00000000" w:rsidR="00000000" w:rsidRPr="00000000">
              <w:rPr>
                <w:rFonts w:ascii="Calibri" w:cs="Calibri" w:eastAsia="Calibri" w:hAnsi="Calibri"/>
                <w:vertAlign w:val="baseline"/>
                <w:rtl w:val="0"/>
              </w:rPr>
              <w:t xml:space="preserve">Exploitative child labour</w:t>
            </w:r>
          </w:p>
          <w:p w:rsidR="00000000" w:rsidDel="00000000" w:rsidP="00000000" w:rsidRDefault="00000000" w:rsidRPr="00000000" w14:paraId="00000016">
            <w:pPr>
              <w:numPr>
                <w:ilvl w:val="0"/>
                <w:numId w:val="2"/>
              </w:numPr>
              <w:spacing w:after="0" w:line="276" w:lineRule="auto"/>
              <w:ind w:left="357" w:hanging="357"/>
              <w:rPr/>
            </w:pPr>
            <w:r w:rsidDel="00000000" w:rsidR="00000000" w:rsidRPr="00000000">
              <w:rPr>
                <w:rFonts w:ascii="Calibri" w:cs="Calibri" w:eastAsia="Calibri" w:hAnsi="Calibri"/>
                <w:vertAlign w:val="baseline"/>
                <w:rtl w:val="0"/>
              </w:rPr>
              <w:t xml:space="preserve">Vulnerability to sexually transmitted diseases (including HIV and AIDS)</w:t>
            </w:r>
          </w:p>
          <w:p w:rsidR="00000000" w:rsidDel="00000000" w:rsidP="00000000" w:rsidRDefault="00000000" w:rsidRPr="00000000" w14:paraId="00000017">
            <w:pPr>
              <w:spacing w:after="24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8">
            <w:pPr>
              <w:spacing w:after="240" w:line="276" w:lineRule="auto"/>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Possible challenges and difficulties</w:t>
            </w:r>
            <w:r w:rsidDel="00000000" w:rsidR="00000000" w:rsidRPr="00000000">
              <w:rPr>
                <w:rtl w:val="0"/>
              </w:rPr>
            </w:r>
          </w:p>
          <w:p w:rsidR="00000000" w:rsidDel="00000000" w:rsidP="00000000" w:rsidRDefault="00000000" w:rsidRPr="00000000" w14:paraId="00000019">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Problems with bullying, romantic relationships, parents fighting over money and other issues </w:t>
            </w:r>
          </w:p>
          <w:p w:rsidR="00000000" w:rsidDel="00000000" w:rsidP="00000000" w:rsidRDefault="00000000" w:rsidRPr="00000000" w14:paraId="0000001A">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High burden of household chores and responsibilities</w:t>
            </w:r>
          </w:p>
          <w:p w:rsidR="00000000" w:rsidDel="00000000" w:rsidP="00000000" w:rsidRDefault="00000000" w:rsidRPr="00000000" w14:paraId="0000001B">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Duties as wives or mothers that reduce opportunities to participate in programmes</w:t>
            </w:r>
          </w:p>
          <w:p w:rsidR="00000000" w:rsidDel="00000000" w:rsidP="00000000" w:rsidRDefault="00000000" w:rsidRPr="00000000" w14:paraId="0000001C">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Fewer opportunities (than boys) to attend school </w:t>
            </w:r>
          </w:p>
          <w:p w:rsidR="00000000" w:rsidDel="00000000" w:rsidP="00000000" w:rsidRDefault="00000000" w:rsidRPr="00000000" w14:paraId="0000001D">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Child marriage, sexual exploitation, vulnerability to pregnancy, sexually transmitted diseases</w:t>
            </w:r>
          </w:p>
        </w:tc>
      </w:tr>
      <w:tr>
        <w:trPr>
          <w:cantSplit w:val="0"/>
          <w:tblHeader w:val="0"/>
        </w:trPr>
        <w:tc>
          <w:tcPr>
            <w:vAlign w:val="top"/>
          </w:tcPr>
          <w:p w:rsidR="00000000" w:rsidDel="00000000" w:rsidP="00000000" w:rsidRDefault="00000000" w:rsidRPr="00000000" w14:paraId="0000001E">
            <w:pPr>
              <w:spacing w:after="240" w:line="276" w:lineRule="auto"/>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Things going well and opportunities</w:t>
            </w:r>
            <w:r w:rsidDel="00000000" w:rsidR="00000000" w:rsidRPr="00000000">
              <w:rPr>
                <w:rtl w:val="0"/>
              </w:rPr>
            </w:r>
          </w:p>
          <w:p w:rsidR="00000000" w:rsidDel="00000000" w:rsidP="00000000" w:rsidRDefault="00000000" w:rsidRPr="00000000" w14:paraId="0000001F">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More likely to get education than girls</w:t>
            </w:r>
          </w:p>
          <w:p w:rsidR="00000000" w:rsidDel="00000000" w:rsidP="00000000" w:rsidRDefault="00000000" w:rsidRPr="00000000" w14:paraId="00000020">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More opportunities (and confidence) to participate in family or community matters than girls</w:t>
            </w:r>
          </w:p>
          <w:p w:rsidR="00000000" w:rsidDel="00000000" w:rsidP="00000000" w:rsidRDefault="00000000" w:rsidRPr="00000000" w14:paraId="00000021">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Humanitarian situations may give boys opportunities to take on new roles and to learn new skills – e.g., building shelters, learning new languages </w:t>
            </w:r>
          </w:p>
        </w:tc>
        <w:tc>
          <w:tcPr>
            <w:vAlign w:val="top"/>
          </w:tcPr>
          <w:p w:rsidR="00000000" w:rsidDel="00000000" w:rsidP="00000000" w:rsidRDefault="00000000" w:rsidRPr="00000000" w14:paraId="00000022">
            <w:pPr>
              <w:spacing w:after="240" w:line="276" w:lineRule="auto"/>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Things going well and opportunities</w:t>
            </w:r>
            <w:r w:rsidDel="00000000" w:rsidR="00000000" w:rsidRPr="00000000">
              <w:rPr>
                <w:rtl w:val="0"/>
              </w:rPr>
            </w:r>
          </w:p>
          <w:p w:rsidR="00000000" w:rsidDel="00000000" w:rsidP="00000000" w:rsidRDefault="00000000" w:rsidRPr="00000000" w14:paraId="00000023">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Increasing awareness of the importance of educating the girl-child</w:t>
            </w:r>
          </w:p>
          <w:p w:rsidR="00000000" w:rsidDel="00000000" w:rsidP="00000000" w:rsidRDefault="00000000" w:rsidRPr="00000000" w14:paraId="00000024">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Increasing numbers of programmes for girls</w:t>
            </w:r>
          </w:p>
          <w:p w:rsidR="00000000" w:rsidDel="00000000" w:rsidP="00000000" w:rsidRDefault="00000000" w:rsidRPr="00000000" w14:paraId="00000025">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Humanitarian situations may give girls opportunities to take on new roles, such as becoming heads of households or economic providers and to learn new skills such as other languages</w:t>
            </w:r>
          </w:p>
        </w:tc>
      </w:tr>
    </w:tbl>
    <w:p w:rsidR="00000000" w:rsidDel="00000000" w:rsidP="00000000" w:rsidRDefault="00000000" w:rsidRPr="00000000" w14:paraId="00000026">
      <w:pPr>
        <w:spacing w:after="240" w:line="276" w:lineRule="auto"/>
        <w:rPr>
          <w:rFonts w:ascii="Calibri" w:cs="Calibri" w:eastAsia="Calibri" w:hAnsi="Calibri"/>
          <w:vertAlign w:val="baseline"/>
        </w:rPr>
      </w:pPr>
      <w:r w:rsidDel="00000000" w:rsidR="00000000" w:rsidRPr="00000000">
        <w:rPr>
          <w:rtl w:val="0"/>
        </w:rPr>
      </w:r>
    </w:p>
    <w:sectPr>
      <w:pgSz w:h="16840" w:w="11900" w:orient="portrait"/>
      <w:pgMar w:bottom="1135" w:top="1134"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